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A3" w:rsidRDefault="00FF0328" w:rsidP="00B028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C1B94" w:rsidRPr="007C1B94" w:rsidRDefault="007C1B94" w:rsidP="007C1B94">
      <w:pPr>
        <w:pStyle w:val="Normal1"/>
        <w:tabs>
          <w:tab w:val="left" w:pos="2415"/>
        </w:tabs>
        <w:jc w:val="center"/>
        <w:rPr>
          <w:b/>
        </w:rPr>
      </w:pPr>
      <w:r w:rsidRPr="007C1B94">
        <w:rPr>
          <w:b/>
        </w:rPr>
        <w:t>OSMANİYE İL MİLLİ EĞİTİM MÜDÜRLÜĞÜ GELENEKSEL ÇOCUK OYUNLARI ŞENLİĞİ</w:t>
      </w:r>
    </w:p>
    <w:p w:rsidR="006C0DD3" w:rsidRPr="0015706C" w:rsidRDefault="007C1B94" w:rsidP="007C1B94">
      <w:pPr>
        <w:jc w:val="center"/>
        <w:rPr>
          <w:b/>
          <w:sz w:val="20"/>
          <w:szCs w:val="20"/>
        </w:rPr>
      </w:pPr>
      <w:r w:rsidRPr="007C1B94">
        <w:rPr>
          <w:rFonts w:ascii="Calibri" w:hAnsi="Calibri"/>
          <w:b/>
        </w:rPr>
        <w:t xml:space="preserve">YAKARTOP TURNUVASI </w:t>
      </w:r>
      <w:r w:rsidR="006E7AEC" w:rsidRPr="007C1B94">
        <w:rPr>
          <w:rFonts w:ascii="Calibri" w:hAnsi="Calibri"/>
          <w:b/>
        </w:rPr>
        <w:t>ÖZET OYUN KURALLARI</w:t>
      </w:r>
      <w:r w:rsidR="0077694B" w:rsidRPr="007C1B94">
        <w:rPr>
          <w:rFonts w:ascii="Calibri" w:hAnsi="Calibri"/>
          <w:b/>
        </w:rPr>
        <w:t xml:space="preserve"> VE YARIŞMA YÖNERGESİ</w:t>
      </w:r>
    </w:p>
    <w:p w:rsidR="00AE7AE6" w:rsidRPr="0015706C" w:rsidRDefault="00AE7AE6" w:rsidP="00AE7AE6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Takım nasıl oluşur?</w:t>
      </w:r>
    </w:p>
    <w:p w:rsidR="00AE7AE6" w:rsidRPr="0015706C" w:rsidRDefault="00AE7AE6" w:rsidP="00DA089B">
      <w:pPr>
        <w:pStyle w:val="ListeParagraf"/>
        <w:rPr>
          <w:sz w:val="20"/>
          <w:szCs w:val="20"/>
        </w:rPr>
      </w:pPr>
      <w:r w:rsidRPr="0015706C">
        <w:rPr>
          <w:sz w:val="20"/>
          <w:szCs w:val="20"/>
        </w:rPr>
        <w:t xml:space="preserve">Takım </w:t>
      </w:r>
      <w:r w:rsidR="001C0FA8">
        <w:rPr>
          <w:sz w:val="20"/>
          <w:szCs w:val="20"/>
        </w:rPr>
        <w:t>8</w:t>
      </w:r>
      <w:r w:rsidRPr="0015706C">
        <w:rPr>
          <w:sz w:val="20"/>
          <w:szCs w:val="20"/>
        </w:rPr>
        <w:t xml:space="preserve"> asıl, </w:t>
      </w:r>
      <w:r w:rsidR="001C0FA8">
        <w:rPr>
          <w:sz w:val="20"/>
          <w:szCs w:val="20"/>
        </w:rPr>
        <w:t>2</w:t>
      </w:r>
      <w:r w:rsidRPr="0015706C">
        <w:rPr>
          <w:sz w:val="20"/>
          <w:szCs w:val="20"/>
        </w:rPr>
        <w:t xml:space="preserve"> yedek oyuncudan oluşur. Maça </w:t>
      </w:r>
      <w:r w:rsidR="001C0FA8">
        <w:rPr>
          <w:sz w:val="20"/>
          <w:szCs w:val="20"/>
        </w:rPr>
        <w:t>4</w:t>
      </w:r>
      <w:r w:rsidRPr="0015706C">
        <w:rPr>
          <w:sz w:val="20"/>
          <w:szCs w:val="20"/>
        </w:rPr>
        <w:t xml:space="preserve"> kız ve </w:t>
      </w:r>
      <w:r w:rsidR="001C0FA8">
        <w:rPr>
          <w:sz w:val="20"/>
          <w:szCs w:val="20"/>
        </w:rPr>
        <w:t>4</w:t>
      </w:r>
      <w:r w:rsidRPr="0015706C">
        <w:rPr>
          <w:sz w:val="20"/>
          <w:szCs w:val="20"/>
        </w:rPr>
        <w:t xml:space="preserve"> erkek öğrenci ile çıkılır. </w:t>
      </w:r>
      <w:r w:rsidR="001C0FA8">
        <w:rPr>
          <w:sz w:val="20"/>
          <w:szCs w:val="20"/>
        </w:rPr>
        <w:t>2</w:t>
      </w:r>
      <w:r w:rsidR="00DA089B">
        <w:rPr>
          <w:sz w:val="20"/>
          <w:szCs w:val="20"/>
        </w:rPr>
        <w:t xml:space="preserve"> </w:t>
      </w:r>
      <w:r w:rsidR="004B1D73">
        <w:rPr>
          <w:sz w:val="20"/>
          <w:szCs w:val="20"/>
        </w:rPr>
        <w:t xml:space="preserve">yedek öğrenci sonraki setlerde oynamak için hazır bulundurulur. </w:t>
      </w:r>
      <w:r w:rsidRPr="0015706C">
        <w:rPr>
          <w:sz w:val="20"/>
          <w:szCs w:val="20"/>
        </w:rPr>
        <w:t xml:space="preserve">Set içerisinde oyuncu değişikliği yapılmaz, değişiklik her set öncesi </w:t>
      </w:r>
      <w:r w:rsidR="004B1D73">
        <w:rPr>
          <w:sz w:val="20"/>
          <w:szCs w:val="20"/>
        </w:rPr>
        <w:t>maça çıkış listesinde</w:t>
      </w:r>
      <w:r w:rsidRPr="0015706C">
        <w:rPr>
          <w:sz w:val="20"/>
          <w:szCs w:val="20"/>
        </w:rPr>
        <w:t xml:space="preserve"> bildirilir.</w:t>
      </w:r>
      <w:r w:rsidR="004B1D73">
        <w:rPr>
          <w:sz w:val="20"/>
          <w:szCs w:val="20"/>
        </w:rPr>
        <w:t xml:space="preserve"> </w:t>
      </w:r>
      <w:r w:rsidR="00DA089B" w:rsidRPr="0066682E">
        <w:rPr>
          <w:sz w:val="20"/>
          <w:szCs w:val="20"/>
          <w:u w:val="single"/>
        </w:rPr>
        <w:t>Takımların oluşumunda</w:t>
      </w:r>
      <w:r w:rsidR="004B1D73" w:rsidRPr="0066682E">
        <w:rPr>
          <w:sz w:val="20"/>
          <w:szCs w:val="20"/>
          <w:u w:val="single"/>
        </w:rPr>
        <w:t xml:space="preserve"> </w:t>
      </w:r>
      <w:r w:rsidR="00F70FAE" w:rsidRPr="0066682E">
        <w:rPr>
          <w:sz w:val="20"/>
          <w:szCs w:val="20"/>
          <w:u w:val="single"/>
        </w:rPr>
        <w:t>201</w:t>
      </w:r>
      <w:r w:rsidR="00FA22B1">
        <w:rPr>
          <w:sz w:val="20"/>
          <w:szCs w:val="20"/>
          <w:u w:val="single"/>
        </w:rPr>
        <w:t>3</w:t>
      </w:r>
      <w:r w:rsidR="00F70FAE" w:rsidRPr="0066682E">
        <w:rPr>
          <w:sz w:val="20"/>
          <w:szCs w:val="20"/>
          <w:u w:val="single"/>
        </w:rPr>
        <w:t>-201</w:t>
      </w:r>
      <w:r w:rsidR="00FA22B1">
        <w:rPr>
          <w:sz w:val="20"/>
          <w:szCs w:val="20"/>
          <w:u w:val="single"/>
        </w:rPr>
        <w:t>4</w:t>
      </w:r>
      <w:r w:rsidR="00F70FAE" w:rsidRPr="0066682E">
        <w:rPr>
          <w:sz w:val="20"/>
          <w:szCs w:val="20"/>
          <w:u w:val="single"/>
        </w:rPr>
        <w:t xml:space="preserve"> </w:t>
      </w:r>
      <w:r w:rsidR="004B1D73" w:rsidRPr="0066682E">
        <w:rPr>
          <w:sz w:val="20"/>
          <w:szCs w:val="20"/>
          <w:u w:val="single"/>
        </w:rPr>
        <w:t xml:space="preserve"> doğumlu</w:t>
      </w:r>
      <w:r w:rsidR="00FA22B1">
        <w:rPr>
          <w:sz w:val="20"/>
          <w:szCs w:val="20"/>
          <w:u w:val="single"/>
        </w:rPr>
        <w:t xml:space="preserve"> öğrencilere yer verilir.</w:t>
      </w:r>
      <w:bookmarkStart w:id="0" w:name="_GoBack"/>
      <w:bookmarkEnd w:id="0"/>
      <w:r w:rsidR="00F70FAE">
        <w:rPr>
          <w:sz w:val="20"/>
          <w:szCs w:val="20"/>
        </w:rPr>
        <w:t xml:space="preserve"> </w:t>
      </w:r>
    </w:p>
    <w:p w:rsidR="00AE7AE6" w:rsidRPr="0015706C" w:rsidRDefault="00AE7AE6" w:rsidP="00AE7AE6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Oyun Nasıl Kazanılır?</w:t>
      </w:r>
    </w:p>
    <w:p w:rsidR="00AE7AE6" w:rsidRPr="0015706C" w:rsidRDefault="00B028A3" w:rsidP="00FF0328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Set</w:t>
      </w:r>
      <w:r w:rsidR="00DA089B">
        <w:rPr>
          <w:sz w:val="20"/>
          <w:szCs w:val="20"/>
        </w:rPr>
        <w:t xml:space="preserve">, kurallar </w:t>
      </w:r>
      <w:proofErr w:type="gramStart"/>
      <w:r w:rsidR="00AE7AE6" w:rsidRPr="0015706C">
        <w:rPr>
          <w:sz w:val="20"/>
          <w:szCs w:val="20"/>
        </w:rPr>
        <w:t>dahilinde</w:t>
      </w:r>
      <w:proofErr w:type="gramEnd"/>
      <w:r w:rsidR="00AE7AE6" w:rsidRPr="0015706C">
        <w:rPr>
          <w:sz w:val="20"/>
          <w:szCs w:val="20"/>
        </w:rPr>
        <w:t xml:space="preserve">, </w:t>
      </w:r>
      <w:r w:rsidR="004B1D73">
        <w:rPr>
          <w:sz w:val="20"/>
          <w:szCs w:val="20"/>
        </w:rPr>
        <w:t xml:space="preserve">rakibin tüm sporcularını top ile </w:t>
      </w:r>
      <w:r w:rsidR="00FF0328">
        <w:rPr>
          <w:sz w:val="20"/>
          <w:szCs w:val="20"/>
        </w:rPr>
        <w:t>ya da</w:t>
      </w:r>
      <w:r w:rsidR="004B1D73">
        <w:rPr>
          <w:sz w:val="20"/>
          <w:szCs w:val="20"/>
        </w:rPr>
        <w:t xml:space="preserve"> kural dışı nedenlerden </w:t>
      </w:r>
      <w:r w:rsidR="00FF0328">
        <w:rPr>
          <w:sz w:val="20"/>
          <w:szCs w:val="20"/>
        </w:rPr>
        <w:t>dolayı ebelenmesi ile kazanılır</w:t>
      </w:r>
      <w:r w:rsidR="00DA089B">
        <w:rPr>
          <w:sz w:val="20"/>
          <w:szCs w:val="20"/>
        </w:rPr>
        <w:t>.</w:t>
      </w:r>
      <w:r w:rsidR="007C1B94">
        <w:rPr>
          <w:sz w:val="20"/>
          <w:szCs w:val="20"/>
        </w:rPr>
        <w:t xml:space="preserve"> Oyunda yumuşatılmış voleybol topu kullanılır.</w:t>
      </w:r>
    </w:p>
    <w:p w:rsidR="00AE7AE6" w:rsidRPr="0015706C" w:rsidRDefault="006119AC" w:rsidP="00AE7AE6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Oyuncu nasıl ebelenir</w:t>
      </w:r>
      <w:r w:rsidR="00AE7AE6" w:rsidRPr="0015706C">
        <w:rPr>
          <w:b/>
          <w:sz w:val="20"/>
          <w:szCs w:val="20"/>
        </w:rPr>
        <w:t>?</w:t>
      </w:r>
    </w:p>
    <w:p w:rsidR="00AE7AE6" w:rsidRPr="0015706C" w:rsidRDefault="004B1D73" w:rsidP="00AE7AE6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Topla ebelenerek.</w:t>
      </w:r>
      <w:r w:rsidR="0077694B">
        <w:rPr>
          <w:sz w:val="20"/>
          <w:szCs w:val="20"/>
        </w:rPr>
        <w:t>(Topun yere değmeden temas olması gereklidir.)</w:t>
      </w:r>
    </w:p>
    <w:p w:rsidR="000E09B1" w:rsidRPr="0015706C" w:rsidRDefault="004B1D73" w:rsidP="00AE7AE6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Oyunda olan öğrencinin sahasından çıkmasıyla(Ayaklarının tamamıyla çıkmasıyla)</w:t>
      </w:r>
    </w:p>
    <w:p w:rsidR="000E09B1" w:rsidRPr="0015706C" w:rsidRDefault="000E09B1" w:rsidP="000E09B1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Takım nasıl sıralanır?</w:t>
      </w:r>
    </w:p>
    <w:p w:rsidR="000E09B1" w:rsidRPr="0015706C" w:rsidRDefault="000E09B1" w:rsidP="00FF0328">
      <w:pPr>
        <w:pStyle w:val="ListeParagraf"/>
        <w:rPr>
          <w:sz w:val="20"/>
          <w:szCs w:val="20"/>
        </w:rPr>
      </w:pPr>
      <w:r w:rsidRPr="0015706C">
        <w:rPr>
          <w:sz w:val="20"/>
          <w:szCs w:val="20"/>
        </w:rPr>
        <w:t>Takım numaraları, küçükten büyüğe doğru olmak şartıyla maça çıkar.</w:t>
      </w:r>
      <w:r w:rsidR="006119AC">
        <w:rPr>
          <w:sz w:val="20"/>
          <w:szCs w:val="20"/>
        </w:rPr>
        <w:t xml:space="preserve"> Doğum tarihlerine uygun imzalı maça çıkış listesi </w:t>
      </w:r>
      <w:r w:rsidR="00F70FAE">
        <w:rPr>
          <w:sz w:val="20"/>
          <w:szCs w:val="20"/>
        </w:rPr>
        <w:t>(V</w:t>
      </w:r>
      <w:r w:rsidR="006119AC">
        <w:rPr>
          <w:sz w:val="20"/>
          <w:szCs w:val="20"/>
        </w:rPr>
        <w:t xml:space="preserve">eli izin belgeleri </w:t>
      </w:r>
      <w:r w:rsidR="00F70FAE">
        <w:rPr>
          <w:sz w:val="20"/>
          <w:szCs w:val="20"/>
        </w:rPr>
        <w:t>alınmış olmak kaydı ile okulda saklanacaktır.) müsabaka</w:t>
      </w:r>
      <w:r w:rsidR="006119AC">
        <w:rPr>
          <w:sz w:val="20"/>
          <w:szCs w:val="20"/>
        </w:rPr>
        <w:t xml:space="preserve"> önce </w:t>
      </w:r>
      <w:r w:rsidR="00FF0328">
        <w:rPr>
          <w:sz w:val="20"/>
          <w:szCs w:val="20"/>
        </w:rPr>
        <w:t>organizasyona</w:t>
      </w:r>
      <w:r w:rsidR="006119AC">
        <w:rPr>
          <w:sz w:val="20"/>
          <w:szCs w:val="20"/>
        </w:rPr>
        <w:t xml:space="preserve"> teslim edilir ve sıralamada ölçüt aranmaz. Her set öncesinde </w:t>
      </w:r>
      <w:proofErr w:type="gramStart"/>
      <w:r w:rsidR="00FF0328">
        <w:rPr>
          <w:sz w:val="20"/>
          <w:szCs w:val="20"/>
        </w:rPr>
        <w:t>antrenör</w:t>
      </w:r>
      <w:proofErr w:type="gramEnd"/>
      <w:r w:rsidR="00FF0328">
        <w:rPr>
          <w:sz w:val="20"/>
          <w:szCs w:val="20"/>
        </w:rPr>
        <w:t xml:space="preserve"> ya da takım kaptanı tarafından</w:t>
      </w:r>
      <w:r w:rsidR="006119AC">
        <w:rPr>
          <w:sz w:val="20"/>
          <w:szCs w:val="20"/>
        </w:rPr>
        <w:t xml:space="preserve"> maça çıkış listesi verilir, çıkış listesinde oynayacak olan </w:t>
      </w:r>
      <w:r w:rsidR="00FF0328">
        <w:rPr>
          <w:sz w:val="20"/>
          <w:szCs w:val="20"/>
        </w:rPr>
        <w:t>4</w:t>
      </w:r>
      <w:r w:rsidR="006119AC">
        <w:rPr>
          <w:sz w:val="20"/>
          <w:szCs w:val="20"/>
        </w:rPr>
        <w:t xml:space="preserve"> kız ve </w:t>
      </w:r>
      <w:r w:rsidR="00FF0328">
        <w:rPr>
          <w:sz w:val="20"/>
          <w:szCs w:val="20"/>
        </w:rPr>
        <w:t>4</w:t>
      </w:r>
      <w:r w:rsidR="006119AC">
        <w:rPr>
          <w:sz w:val="20"/>
          <w:szCs w:val="20"/>
        </w:rPr>
        <w:t xml:space="preserve"> erkek oyuncunun isminin başına işaret konur.</w:t>
      </w:r>
    </w:p>
    <w:p w:rsidR="000E09B1" w:rsidRPr="0015706C" w:rsidRDefault="00C304E9" w:rsidP="000E09B1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Maç nasıl kazanılır?</w:t>
      </w:r>
    </w:p>
    <w:p w:rsidR="00C304E9" w:rsidRPr="0015706C" w:rsidRDefault="00C304E9" w:rsidP="00C304E9">
      <w:pPr>
        <w:pStyle w:val="ListeParagraf"/>
        <w:rPr>
          <w:sz w:val="20"/>
          <w:szCs w:val="20"/>
        </w:rPr>
      </w:pPr>
      <w:r w:rsidRPr="0015706C">
        <w:rPr>
          <w:sz w:val="20"/>
          <w:szCs w:val="20"/>
        </w:rPr>
        <w:t>Maç üç set üzerinden oynanır, üçün ikisini alan kazanır, ilk iki set kazanılırsa üçüncü set oynanmaz.</w:t>
      </w:r>
    </w:p>
    <w:p w:rsidR="00C304E9" w:rsidRPr="0015706C" w:rsidRDefault="002A05DC" w:rsidP="000E09B1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Maç</w:t>
      </w:r>
      <w:r w:rsidR="004B1D73">
        <w:rPr>
          <w:b/>
          <w:sz w:val="20"/>
          <w:szCs w:val="20"/>
        </w:rPr>
        <w:t xml:space="preserve"> başlamadan önce</w:t>
      </w:r>
      <w:r>
        <w:rPr>
          <w:b/>
          <w:sz w:val="20"/>
          <w:szCs w:val="20"/>
        </w:rPr>
        <w:t xml:space="preserve"> ve maç sonrası</w:t>
      </w:r>
      <w:r w:rsidR="004B1D73">
        <w:rPr>
          <w:b/>
          <w:sz w:val="20"/>
          <w:szCs w:val="20"/>
        </w:rPr>
        <w:t xml:space="preserve"> neler yapılır?</w:t>
      </w:r>
    </w:p>
    <w:p w:rsidR="002A05DC" w:rsidRPr="002A05DC" w:rsidRDefault="002A05DC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Öğretmenleri ile beraber her iki takım dostluk pozu verir.</w:t>
      </w:r>
    </w:p>
    <w:p w:rsidR="002A05DC" w:rsidRDefault="002A05DC" w:rsidP="00C304E9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Seremoni yapılır. Takımlar orta çizgide birbirine dönük bir şekilde sağ elleri ile başarılar diler, takım kaptanları toklaşır.</w:t>
      </w:r>
    </w:p>
    <w:p w:rsidR="00C304E9" w:rsidRPr="0015706C" w:rsidRDefault="004B1D73" w:rsidP="00C304E9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Top veya saha seçimi için sayışma yapılır, ayağı rakip oyuncunun üzerine gelen tercih yapar. </w:t>
      </w:r>
      <w:proofErr w:type="gramStart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Sayışma: Aldım, verdim, ben s</w:t>
      </w:r>
      <w:r w:rsidR="002A05DC">
        <w:rPr>
          <w:sz w:val="20"/>
          <w:szCs w:val="20"/>
        </w:rPr>
        <w:t>e</w:t>
      </w:r>
      <w:r>
        <w:rPr>
          <w:sz w:val="20"/>
          <w:szCs w:val="20"/>
        </w:rPr>
        <w:t>ni yendim.</w:t>
      </w:r>
      <w:r w:rsidR="002A05DC">
        <w:rPr>
          <w:sz w:val="20"/>
          <w:szCs w:val="20"/>
        </w:rPr>
        <w:t xml:space="preserve"> Rakibi: Alamazsın, veremezsin, sen beni yenemezsin.</w:t>
      </w:r>
      <w:proofErr w:type="gramStart"/>
      <w:r w:rsidR="002A05DC">
        <w:rPr>
          <w:sz w:val="20"/>
          <w:szCs w:val="20"/>
        </w:rPr>
        <w:t>)</w:t>
      </w:r>
      <w:proofErr w:type="gramEnd"/>
      <w:r w:rsidR="002A05DC">
        <w:rPr>
          <w:sz w:val="20"/>
          <w:szCs w:val="20"/>
        </w:rPr>
        <w:t xml:space="preserve"> sayışmalar, takım kaptanı tarafından yapılır.</w:t>
      </w:r>
    </w:p>
    <w:p w:rsidR="00C304E9" w:rsidRDefault="002A05DC" w:rsidP="00FF0328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Oyun bittikten sonra tekrar seremoni yapılır, </w:t>
      </w:r>
      <w:r w:rsidR="00FF0328">
        <w:rPr>
          <w:sz w:val="20"/>
          <w:szCs w:val="20"/>
        </w:rPr>
        <w:t>takımlar</w:t>
      </w:r>
      <w:r>
        <w:rPr>
          <w:sz w:val="20"/>
          <w:szCs w:val="20"/>
        </w:rPr>
        <w:t xml:space="preserve"> arası dostluk sağlanır.</w:t>
      </w:r>
    </w:p>
    <w:p w:rsidR="002A05DC" w:rsidRPr="0015706C" w:rsidRDefault="002A05DC" w:rsidP="002A05DC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ÖZEL DURUMLAR</w:t>
      </w:r>
    </w:p>
    <w:p w:rsidR="002A05DC" w:rsidRPr="002A05DC" w:rsidRDefault="002A05DC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Kale sahasında atış yapan öğrenci, saha çizgisine ayağı ile temas edemez.</w:t>
      </w:r>
    </w:p>
    <w:p w:rsidR="002A05DC" w:rsidRDefault="002A05DC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Oyun sahasındaki çizgiler sahaya aittir, atış yapılırken ayağın bir kısmının çizgiye temas etmesi ve ayağının bir kısmı</w:t>
      </w:r>
      <w:r w:rsidR="004B1E2D">
        <w:rPr>
          <w:sz w:val="20"/>
          <w:szCs w:val="20"/>
        </w:rPr>
        <w:t>nın</w:t>
      </w:r>
      <w:r>
        <w:rPr>
          <w:sz w:val="20"/>
          <w:szCs w:val="20"/>
        </w:rPr>
        <w:t xml:space="preserve"> çizgiye değerek rakip sahaya </w:t>
      </w:r>
      <w:r w:rsidR="004B1E2D">
        <w:rPr>
          <w:sz w:val="20"/>
          <w:szCs w:val="20"/>
        </w:rPr>
        <w:t>geçmesi ve</w:t>
      </w:r>
      <w:r>
        <w:rPr>
          <w:sz w:val="20"/>
          <w:szCs w:val="20"/>
        </w:rPr>
        <w:t xml:space="preserve"> atış yapması kural dışı değildir.</w:t>
      </w:r>
    </w:p>
    <w:p w:rsidR="002A05DC" w:rsidRPr="0015706C" w:rsidRDefault="004B1E2D" w:rsidP="0077694B">
      <w:pPr>
        <w:pStyle w:val="ListeParagraf"/>
        <w:numPr>
          <w:ilvl w:val="0"/>
          <w:numId w:val="3"/>
        </w:numPr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Rakibin attığı topla ebelenmek için topun </w:t>
      </w:r>
      <w:r w:rsidR="0077694B">
        <w:rPr>
          <w:sz w:val="20"/>
          <w:szCs w:val="20"/>
        </w:rPr>
        <w:t xml:space="preserve">yerden gelmemesi ve temas sonrası </w:t>
      </w:r>
      <w:r>
        <w:rPr>
          <w:sz w:val="20"/>
          <w:szCs w:val="20"/>
        </w:rPr>
        <w:t>yere düşmesi gerekmektedir. Vurulan öğrenciden seken topu takım arkadaşı veya rakip oyuncu yere düşmeden kaparsa, ebelenme gerçekleşmez.</w:t>
      </w:r>
    </w:p>
    <w:p w:rsidR="002A05DC" w:rsidRDefault="004B1E2D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 kapan oyuncu can almaz.</w:t>
      </w:r>
    </w:p>
    <w:p w:rsidR="004B1E2D" w:rsidRDefault="004B1E2D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Rakibin attığı topla ebelen</w:t>
      </w:r>
      <w:r w:rsidR="00FF0328">
        <w:rPr>
          <w:sz w:val="20"/>
          <w:szCs w:val="20"/>
        </w:rPr>
        <w:t>en</w:t>
      </w:r>
      <w:r>
        <w:rPr>
          <w:sz w:val="20"/>
          <w:szCs w:val="20"/>
        </w:rPr>
        <w:t xml:space="preserve"> öğrenci düdük ile kendi kalesine geçer, top düştüğü yerden oyun devam eder. (Sahaya düşmüşse sahadan, saha dışına çıkmışsa orta çizginin dışındaki bölgeye göre kaleden başlar.)</w:t>
      </w:r>
    </w:p>
    <w:p w:rsidR="004B1E2D" w:rsidRDefault="004B1E2D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Düdük çalındığında oyuncular, oldukları yerde beklemek zorunda değildir.</w:t>
      </w:r>
    </w:p>
    <w:p w:rsidR="002A05DC" w:rsidRDefault="004B1E2D" w:rsidP="00FF0328">
      <w:pPr>
        <w:pStyle w:val="ListeParagraf"/>
        <w:numPr>
          <w:ilvl w:val="0"/>
          <w:numId w:val="3"/>
        </w:numPr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Takım seyircileri </w:t>
      </w:r>
      <w:r w:rsidR="00FF0328">
        <w:rPr>
          <w:sz w:val="20"/>
          <w:szCs w:val="20"/>
        </w:rPr>
        <w:t>tribünde bekletilir.</w:t>
      </w:r>
    </w:p>
    <w:p w:rsidR="0080615B" w:rsidRPr="00060B8E" w:rsidRDefault="0080615B" w:rsidP="00060B8E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 yan çizgiden çıktığında, orta çizginin izdüşümüne göre kendinse yakın olan kaleye atış hakkı verilir.</w:t>
      </w:r>
    </w:p>
    <w:p w:rsidR="00FA5FEE" w:rsidRPr="0015706C" w:rsidRDefault="00060B8E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Oyunda ebelenen o</w:t>
      </w:r>
      <w:r w:rsidR="0080615B">
        <w:rPr>
          <w:b/>
          <w:sz w:val="20"/>
          <w:szCs w:val="20"/>
        </w:rPr>
        <w:t>yuncu ve ilk kaleci sahada nasıl yer alır</w:t>
      </w:r>
      <w:r w:rsidR="00FA5FEE" w:rsidRPr="0015706C">
        <w:rPr>
          <w:b/>
          <w:sz w:val="20"/>
          <w:szCs w:val="20"/>
        </w:rPr>
        <w:t>?</w:t>
      </w:r>
    </w:p>
    <w:p w:rsidR="00FA5FEE" w:rsidRPr="0015706C" w:rsidRDefault="0080615B" w:rsidP="00FA5FEE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Ebelenen oyuncu kendi kalesine geçerek oyuna devam eder. Kaledeki ilk oyuncu, oyuna istediği zaman girer.</w:t>
      </w:r>
    </w:p>
    <w:p w:rsidR="00FA5FEE" w:rsidRPr="0015706C" w:rsidRDefault="00856D4C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 xml:space="preserve">Maça çıkış listesi nasıl oluşturulur? </w:t>
      </w:r>
    </w:p>
    <w:p w:rsidR="00856D4C" w:rsidRPr="0015706C" w:rsidRDefault="0080615B" w:rsidP="00856D4C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Maça çıkış listesi tüm oyuncuların olduğu ana listeden işaretlenir ve sınıf öğretmeni tarafından imzalanarak hakeme teslim edilir. Her set öncesinde bu işlem tekrarlanır.</w:t>
      </w:r>
    </w:p>
    <w:p w:rsidR="0015706C" w:rsidRPr="0015706C" w:rsidRDefault="0080615B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Turnuva usulü nasıl olacaktır</w:t>
      </w:r>
      <w:r w:rsidR="0015706C" w:rsidRPr="0015706C">
        <w:rPr>
          <w:b/>
          <w:sz w:val="20"/>
          <w:szCs w:val="20"/>
        </w:rPr>
        <w:t>?</w:t>
      </w:r>
    </w:p>
    <w:p w:rsidR="0015706C" w:rsidRPr="0015706C" w:rsidRDefault="0080615B" w:rsidP="00FF0328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Turnuvada gru</w:t>
      </w:r>
      <w:r w:rsidR="00FF0328">
        <w:rPr>
          <w:sz w:val="20"/>
          <w:szCs w:val="20"/>
        </w:rPr>
        <w:t xml:space="preserve">p maçları oynanacak, grupların finalleri Osmaniye </w:t>
      </w:r>
      <w:r w:rsidR="007C1B94">
        <w:rPr>
          <w:sz w:val="20"/>
          <w:szCs w:val="20"/>
        </w:rPr>
        <w:t>İl Milli Eğitim Müdürlüğü Geleneksel Çocuk Oyunları Şenliğinde</w:t>
      </w:r>
      <w:r w:rsidR="00FF0328">
        <w:rPr>
          <w:sz w:val="20"/>
          <w:szCs w:val="20"/>
        </w:rPr>
        <w:t xml:space="preserve"> yapılacaktır.</w:t>
      </w:r>
      <w:r>
        <w:rPr>
          <w:sz w:val="20"/>
          <w:szCs w:val="20"/>
        </w:rPr>
        <w:t xml:space="preserve"> </w:t>
      </w:r>
    </w:p>
    <w:p w:rsidR="0015706C" w:rsidRPr="0015706C" w:rsidRDefault="0015706C" w:rsidP="0015706C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İtiraz Kurulu oluşturulmayacaktır, başhakemin verdiği karar nihaidir.</w:t>
      </w:r>
    </w:p>
    <w:p w:rsidR="0015706C" w:rsidRPr="0015706C" w:rsidRDefault="0015706C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Tüm yarışmacılar bu yönergeyi okumuş ve kabul etmiş sayılır.</w:t>
      </w:r>
    </w:p>
    <w:p w:rsidR="0015706C" w:rsidRDefault="0015706C" w:rsidP="00856D4C">
      <w:pPr>
        <w:pStyle w:val="ListeParagraf"/>
        <w:rPr>
          <w:sz w:val="20"/>
          <w:szCs w:val="20"/>
        </w:rPr>
      </w:pPr>
    </w:p>
    <w:p w:rsidR="0066682E" w:rsidRDefault="0066682E" w:rsidP="0015706C">
      <w:pPr>
        <w:pStyle w:val="ListeParagraf"/>
        <w:rPr>
          <w:b/>
          <w:sz w:val="20"/>
          <w:szCs w:val="20"/>
        </w:rPr>
      </w:pPr>
    </w:p>
    <w:p w:rsidR="0015706C" w:rsidRDefault="00856D4C" w:rsidP="0015706C">
      <w:pPr>
        <w:pStyle w:val="ListeParagraf"/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TÜM TAKIMLARA BAŞARILAR DİLERİZ.</w:t>
      </w:r>
    </w:p>
    <w:p w:rsidR="00294B49" w:rsidRDefault="00294B49" w:rsidP="0015706C">
      <w:pPr>
        <w:pStyle w:val="ListeParagraf"/>
        <w:rPr>
          <w:b/>
          <w:sz w:val="20"/>
          <w:szCs w:val="20"/>
        </w:rPr>
      </w:pPr>
    </w:p>
    <w:p w:rsidR="00294B49" w:rsidRPr="000008CD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b/>
          <w:color w:val="000000"/>
        </w:rPr>
      </w:pPr>
      <w:r w:rsidRPr="000008CD">
        <w:rPr>
          <w:b/>
          <w:color w:val="000000"/>
        </w:rPr>
        <w:lastRenderedPageBreak/>
        <w:t>Ek-1</w:t>
      </w:r>
    </w:p>
    <w:p w:rsidR="00294B49" w:rsidRPr="000008CD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</w:rPr>
      </w:pPr>
    </w:p>
    <w:p w:rsidR="007C1B94" w:rsidRDefault="007C1B94" w:rsidP="007C1B94">
      <w:pPr>
        <w:pStyle w:val="Normal1"/>
        <w:tabs>
          <w:tab w:val="left" w:pos="2415"/>
        </w:tabs>
        <w:jc w:val="center"/>
        <w:rPr>
          <w:b/>
        </w:rPr>
      </w:pPr>
      <w:r>
        <w:rPr>
          <w:b/>
        </w:rPr>
        <w:t>OSMANİYE İL MİLLİ EĞİTİM MÜDÜRLÜĞÜ GELENEKSEL ÇOCUK OYUNLARI ŞENLİĞİ</w:t>
      </w:r>
    </w:p>
    <w:p w:rsidR="00294B49" w:rsidRPr="000008CD" w:rsidRDefault="00294B49" w:rsidP="007C1B94">
      <w:pPr>
        <w:pStyle w:val="Normal1"/>
        <w:tabs>
          <w:tab w:val="left" w:pos="2415"/>
        </w:tabs>
        <w:jc w:val="center"/>
        <w:rPr>
          <w:b/>
        </w:rPr>
      </w:pPr>
      <w:r>
        <w:rPr>
          <w:b/>
        </w:rPr>
        <w:t>YAKARTOP</w:t>
      </w:r>
      <w:r w:rsidRPr="000008CD">
        <w:rPr>
          <w:b/>
        </w:rPr>
        <w:t xml:space="preserve"> TURNUVASI SPORCU BİLDİRİM FORMU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OKUL ADI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: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İLÇESİ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: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OKUL TEL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: 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>Antrenör  (Sorumlu Öğretmen) _Adı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    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>İrtibat Tel No      (Sorumlu Öğretmen)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    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 xml:space="preserve">Her okul 8 asil ve 2 yedek olmak üzere 10 öğrenci ile katılımda bulunacak, </w:t>
      </w:r>
      <w:r>
        <w:rPr>
          <w:b/>
          <w:color w:val="000000"/>
        </w:rPr>
        <w:t>veli izin belgesi alınmış olacaktır</w:t>
      </w:r>
      <w:r>
        <w:rPr>
          <w:color w:val="000000"/>
        </w:rPr>
        <w:t xml:space="preserve">. 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TURNUVAYA KATILACAK ÖĞRENCİLERİN: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tbl>
      <w:tblPr>
        <w:tblW w:w="10613" w:type="dxa"/>
        <w:tblInd w:w="-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505"/>
        <w:gridCol w:w="1305"/>
        <w:gridCol w:w="3827"/>
        <w:gridCol w:w="1560"/>
        <w:gridCol w:w="1764"/>
      </w:tblGrid>
      <w:tr w:rsidR="00294B49" w:rsidTr="00294B49">
        <w:trPr>
          <w:cantSplit/>
          <w:trHeight w:val="306"/>
          <w:tblHeader/>
        </w:trPr>
        <w:tc>
          <w:tcPr>
            <w:tcW w:w="652" w:type="dxa"/>
            <w:tcMar>
              <w:top w:w="0" w:type="dxa"/>
              <w:bottom w:w="0" w:type="dxa"/>
            </w:tcMar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05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Sınıf/Şube</w:t>
            </w:r>
          </w:p>
        </w:tc>
        <w:tc>
          <w:tcPr>
            <w:tcW w:w="1305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ADI, SOYADI</w:t>
            </w:r>
          </w:p>
        </w:tc>
        <w:tc>
          <w:tcPr>
            <w:tcW w:w="1560" w:type="dxa"/>
          </w:tcPr>
          <w:p w:rsidR="00294B49" w:rsidRPr="00F74584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DOĞUM YILI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CİNSİYETİ</w:t>
            </w: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 xml:space="preserve">NOT: Kız ve erkek </w:t>
      </w:r>
      <w:r w:rsidR="002852C9">
        <w:rPr>
          <w:b/>
          <w:color w:val="000000"/>
        </w:rPr>
        <w:t xml:space="preserve">öğrencilerin oranı 5/5 </w:t>
      </w:r>
      <w:r>
        <w:rPr>
          <w:b/>
          <w:color w:val="000000"/>
        </w:rPr>
        <w:t>olmalıdır</w:t>
      </w:r>
      <w:r>
        <w:rPr>
          <w:color w:val="000000"/>
        </w:rPr>
        <w:t>.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6760A" w:rsidRDefault="00B6760A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                                     TASDİK OLUNUR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Okul Müdürü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Adı ve Soyadı</w:t>
      </w:r>
    </w:p>
    <w:p w:rsidR="00294B49" w:rsidRDefault="00294B49" w:rsidP="00294B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İmza-Mühür</w:t>
      </w:r>
    </w:p>
    <w:p w:rsidR="00294B49" w:rsidRPr="0015706C" w:rsidRDefault="00294B49" w:rsidP="0015706C">
      <w:pPr>
        <w:pStyle w:val="ListeParagraf"/>
        <w:rPr>
          <w:b/>
          <w:sz w:val="20"/>
          <w:szCs w:val="20"/>
        </w:rPr>
      </w:pPr>
    </w:p>
    <w:sectPr w:rsidR="00294B49" w:rsidRPr="0015706C" w:rsidSect="00B028A3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C2297"/>
    <w:multiLevelType w:val="hybridMultilevel"/>
    <w:tmpl w:val="67A21E7A"/>
    <w:lvl w:ilvl="0" w:tplc="6A440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8EC"/>
    <w:multiLevelType w:val="hybridMultilevel"/>
    <w:tmpl w:val="F36AB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95ED3"/>
    <w:multiLevelType w:val="hybridMultilevel"/>
    <w:tmpl w:val="18B42658"/>
    <w:lvl w:ilvl="0" w:tplc="1062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E6"/>
    <w:rsid w:val="0002177A"/>
    <w:rsid w:val="00060B8E"/>
    <w:rsid w:val="000847D5"/>
    <w:rsid w:val="000E09B1"/>
    <w:rsid w:val="00130018"/>
    <w:rsid w:val="0015706C"/>
    <w:rsid w:val="001A0136"/>
    <w:rsid w:val="001C0FA8"/>
    <w:rsid w:val="00232F5F"/>
    <w:rsid w:val="002852C9"/>
    <w:rsid w:val="00294B49"/>
    <w:rsid w:val="002A05DC"/>
    <w:rsid w:val="004227FA"/>
    <w:rsid w:val="004B1D73"/>
    <w:rsid w:val="004B1E2D"/>
    <w:rsid w:val="006119AC"/>
    <w:rsid w:val="0066682E"/>
    <w:rsid w:val="006C0DD3"/>
    <w:rsid w:val="006E7AEC"/>
    <w:rsid w:val="0077694B"/>
    <w:rsid w:val="007A71B7"/>
    <w:rsid w:val="007C1B94"/>
    <w:rsid w:val="0080615B"/>
    <w:rsid w:val="00856D4C"/>
    <w:rsid w:val="008F25F4"/>
    <w:rsid w:val="009A396D"/>
    <w:rsid w:val="00AE7AE6"/>
    <w:rsid w:val="00AF66F0"/>
    <w:rsid w:val="00B028A3"/>
    <w:rsid w:val="00B6760A"/>
    <w:rsid w:val="00C304E9"/>
    <w:rsid w:val="00C97F63"/>
    <w:rsid w:val="00DA089B"/>
    <w:rsid w:val="00DC6A2C"/>
    <w:rsid w:val="00F70FAE"/>
    <w:rsid w:val="00F92998"/>
    <w:rsid w:val="00FA22B1"/>
    <w:rsid w:val="00FA2744"/>
    <w:rsid w:val="00FA5FEE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5357D-FD09-4432-A91C-194FC1E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7AE6"/>
    <w:pPr>
      <w:ind w:left="720"/>
      <w:contextualSpacing/>
    </w:pPr>
  </w:style>
  <w:style w:type="paragraph" w:styleId="AralkYok">
    <w:name w:val="No Spacing"/>
    <w:uiPriority w:val="1"/>
    <w:qFormat/>
    <w:rsid w:val="001A0136"/>
    <w:pPr>
      <w:spacing w:after="0" w:line="240" w:lineRule="auto"/>
    </w:pPr>
  </w:style>
  <w:style w:type="paragraph" w:customStyle="1" w:styleId="Normal1">
    <w:name w:val="Normal1"/>
    <w:rsid w:val="00294B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MuratAKBULUT</cp:lastModifiedBy>
  <cp:revision>2</cp:revision>
  <cp:lastPrinted>2019-04-01T16:38:00Z</cp:lastPrinted>
  <dcterms:created xsi:type="dcterms:W3CDTF">2025-04-11T06:10:00Z</dcterms:created>
  <dcterms:modified xsi:type="dcterms:W3CDTF">2025-04-11T06:10:00Z</dcterms:modified>
</cp:coreProperties>
</file>